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after="156" w:afterLines="50"/>
        <w:jc w:val="center"/>
        <w:rPr>
          <w:rFonts w:ascii="宋体"/>
          <w:b/>
          <w:sz w:val="32"/>
          <w:szCs w:val="32"/>
        </w:rPr>
      </w:pP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p>
    <w:p>
      <w:pPr>
        <w:pStyle w:val="11"/>
        <w:spacing w:line="480" w:lineRule="auto"/>
        <w:ind w:left="0" w:leftChars="0" w:firstLine="0" w:firstLineChars="0"/>
        <w:jc w:val="left"/>
        <w:rPr>
          <w:rFonts w:hint="eastAsia" w:asciiTheme="minorEastAsia" w:hAnsiTheme="minorEastAsia"/>
          <w:b/>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269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7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序号</w:t>
            </w:r>
          </w:p>
        </w:tc>
        <w:tc>
          <w:tcPr>
            <w:tcW w:w="269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采购内容</w:t>
            </w:r>
          </w:p>
        </w:tc>
        <w:tc>
          <w:tcPr>
            <w:tcW w:w="2131"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数量（个）</w:t>
            </w:r>
          </w:p>
        </w:tc>
        <w:tc>
          <w:tcPr>
            <w:tcW w:w="2131"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最高限价（元/个）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1</w:t>
            </w:r>
          </w:p>
        </w:tc>
        <w:tc>
          <w:tcPr>
            <w:tcW w:w="269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一次性医用口罩</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100000</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2</w:t>
            </w:r>
          </w:p>
        </w:tc>
        <w:tc>
          <w:tcPr>
            <w:tcW w:w="269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一次性医用外科口罩</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100000</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0.3</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bookmarkStart w:id="0" w:name="_GoBack"/>
      <w:bookmarkEnd w:id="0"/>
      <w:r>
        <w:rPr>
          <w:rFonts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（4）具备相应的</w:t>
      </w:r>
      <w:r>
        <w:rPr>
          <w:rFonts w:ascii="宋体" w:hAnsi="宋体" w:eastAsia="宋体" w:cs="宋体"/>
          <w:kern w:val="0"/>
          <w:sz w:val="24"/>
          <w:szCs w:val="24"/>
        </w:rPr>
        <w:t>经营范围</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（5）所供货物必须达到国家相应质量标准</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uiPriority w:val="99"/>
    <w:rPr>
      <w:sz w:val="18"/>
      <w:szCs w:val="18"/>
    </w:rPr>
  </w:style>
  <w:style w:type="paragraph" w:customStyle="1" w:styleId="13">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690</Characters>
  <Lines>5</Lines>
  <Paragraphs>1</Paragraphs>
  <TotalTime>3</TotalTime>
  <ScaleCrop>false</ScaleCrop>
  <LinksUpToDate>false</LinksUpToDate>
  <CharactersWithSpaces>810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2020-08-31T06:24:00Z</cp:lastPrinted>
  <dcterms:modified xsi:type="dcterms:W3CDTF">2021-09-09T12:10:17Z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